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Mathematics Curriculum Overview: Years 7–11</w:t>
      </w:r>
    </w:p>
    <w:p>
      <w:r>
        <w:t>This overview maps the curriculum structure from Year 7 to Year 11, summarising termly foci and progression across the Key Stages:</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Year</w:t>
            </w:r>
          </w:p>
        </w:tc>
        <w:tc>
          <w:tcPr>
            <w:tcW w:type="dxa" w:w="1440"/>
          </w:tcPr>
          <w:p>
            <w:r>
              <w:t>Autumn Term Focus</w:t>
            </w:r>
          </w:p>
        </w:tc>
        <w:tc>
          <w:tcPr>
            <w:tcW w:type="dxa" w:w="1440"/>
          </w:tcPr>
          <w:p>
            <w:r>
              <w:t>Spring Term Focus</w:t>
            </w:r>
          </w:p>
        </w:tc>
        <w:tc>
          <w:tcPr>
            <w:tcW w:type="dxa" w:w="1440"/>
          </w:tcPr>
          <w:p>
            <w:r>
              <w:t>Summer Term Focus</w:t>
            </w:r>
          </w:p>
        </w:tc>
        <w:tc>
          <w:tcPr>
            <w:tcW w:type="dxa" w:w="1440"/>
          </w:tcPr>
          <w:p>
            <w:r>
              <w:t>Curriculum Strengths</w:t>
            </w:r>
          </w:p>
        </w:tc>
        <w:tc>
          <w:tcPr>
            <w:tcW w:type="dxa" w:w="1440"/>
          </w:tcPr>
          <w:p>
            <w:r>
              <w:t>RAG Rating</w:t>
            </w:r>
          </w:p>
        </w:tc>
      </w:tr>
      <w:tr>
        <w:tc>
          <w:tcPr>
            <w:tcW w:type="dxa" w:w="1440"/>
          </w:tcPr>
          <w:p>
            <w:r>
              <w:t>7</w:t>
            </w:r>
          </w:p>
        </w:tc>
        <w:tc>
          <w:tcPr>
            <w:tcW w:type="dxa" w:w="1440"/>
          </w:tcPr>
          <w:p>
            <w:r>
              <w:t>Place value, operations, basic algebra, area &amp; perimeter, fractions</w:t>
            </w:r>
          </w:p>
        </w:tc>
        <w:tc>
          <w:tcPr>
            <w:tcW w:type="dxa" w:w="1440"/>
          </w:tcPr>
          <w:p>
            <w:r>
              <w:t>Decimals, sequences, angles, FDP equivalence, equations</w:t>
            </w:r>
          </w:p>
        </w:tc>
        <w:tc>
          <w:tcPr>
            <w:tcW w:type="dxa" w:w="1440"/>
          </w:tcPr>
          <w:p>
            <w:r>
              <w:t>Probability, ratio, symmetry, 3D shapes, transformations</w:t>
            </w:r>
          </w:p>
        </w:tc>
        <w:tc>
          <w:tcPr>
            <w:tcW w:type="dxa" w:w="1440"/>
          </w:tcPr>
          <w:p>
            <w:r>
              <w:t>Well-sequenced, strong foundational knowledge, regular assessment</w:t>
            </w:r>
          </w:p>
        </w:tc>
        <w:tc>
          <w:tcPr>
            <w:tcW w:type="dxa" w:w="1440"/>
          </w:tcPr>
          <w:p>
            <w:r>
              <w:t>Green</w:t>
            </w:r>
          </w:p>
        </w:tc>
      </w:tr>
      <w:tr>
        <w:tc>
          <w:tcPr>
            <w:tcW w:type="dxa" w:w="1440"/>
          </w:tcPr>
          <w:p>
            <w:r>
              <w:t>8</w:t>
            </w:r>
          </w:p>
        </w:tc>
        <w:tc>
          <w:tcPr>
            <w:tcW w:type="dxa" w:w="1440"/>
          </w:tcPr>
          <w:p>
            <w:r>
              <w:t>Ratio, units, algebra, coordinate geometry</w:t>
            </w:r>
          </w:p>
        </w:tc>
        <w:tc>
          <w:tcPr>
            <w:tcW w:type="dxa" w:w="1440"/>
          </w:tcPr>
          <w:p>
            <w:r>
              <w:t>Inequalities, FDP conversions, equations</w:t>
            </w:r>
          </w:p>
        </w:tc>
        <w:tc>
          <w:tcPr>
            <w:tcW w:type="dxa" w:w="1440"/>
          </w:tcPr>
          <w:p>
            <w:r>
              <w:t>Sequences, constructions, inequalities, geometric reasoning</w:t>
            </w:r>
          </w:p>
        </w:tc>
        <w:tc>
          <w:tcPr>
            <w:tcW w:type="dxa" w:w="1440"/>
          </w:tcPr>
          <w:p>
            <w:r>
              <w:t>Good progression, clear links to prior learning, literacy focus</w:t>
            </w:r>
          </w:p>
        </w:tc>
        <w:tc>
          <w:tcPr>
            <w:tcW w:type="dxa" w:w="1440"/>
          </w:tcPr>
          <w:p>
            <w:r>
              <w:t>Green</w:t>
            </w:r>
          </w:p>
        </w:tc>
      </w:tr>
      <w:tr>
        <w:tc>
          <w:tcPr>
            <w:tcW w:type="dxa" w:w="1440"/>
          </w:tcPr>
          <w:p>
            <w:r>
              <w:t>9</w:t>
            </w:r>
          </w:p>
        </w:tc>
        <w:tc>
          <w:tcPr>
            <w:tcW w:type="dxa" w:w="1440"/>
          </w:tcPr>
          <w:p>
            <w:r>
              <w:t>Area, volume, triple brackets, probability, stats</w:t>
            </w:r>
          </w:p>
        </w:tc>
        <w:tc>
          <w:tcPr>
            <w:tcW w:type="dxa" w:w="1440"/>
          </w:tcPr>
          <w:p>
            <w:r>
              <w:t>Pythagoras, graphs, rearranging formulae</w:t>
            </w:r>
          </w:p>
        </w:tc>
        <w:tc>
          <w:tcPr>
            <w:tcW w:type="dxa" w:w="1440"/>
          </w:tcPr>
          <w:p>
            <w:r>
              <w:t>FDP, transformations, functions, loci, bearings</w:t>
            </w:r>
          </w:p>
        </w:tc>
        <w:tc>
          <w:tcPr>
            <w:tcW w:type="dxa" w:w="1440"/>
          </w:tcPr>
          <w:p>
            <w:r>
              <w:t>Bridges KS3 and KS4 well; strong depth in geometry/algebra</w:t>
            </w:r>
          </w:p>
        </w:tc>
        <w:tc>
          <w:tcPr>
            <w:tcW w:type="dxa" w:w="1440"/>
          </w:tcPr>
          <w:p>
            <w:r>
              <w:t>Green</w:t>
            </w:r>
          </w:p>
        </w:tc>
      </w:tr>
      <w:tr>
        <w:tc>
          <w:tcPr>
            <w:tcW w:type="dxa" w:w="1440"/>
          </w:tcPr>
          <w:p>
            <w:r>
              <w:t>10</w:t>
            </w:r>
          </w:p>
        </w:tc>
        <w:tc>
          <w:tcPr>
            <w:tcW w:type="dxa" w:w="1440"/>
          </w:tcPr>
          <w:p>
            <w:r>
              <w:t>Percentages, trig, stats, algebra manipulation, circle theorems</w:t>
            </w:r>
          </w:p>
        </w:tc>
        <w:tc>
          <w:tcPr>
            <w:tcW w:type="dxa" w:w="1440"/>
          </w:tcPr>
          <w:p>
            <w:r>
              <w:t>Bounds, surface area/volume, quadratics</w:t>
            </w:r>
          </w:p>
        </w:tc>
        <w:tc>
          <w:tcPr>
            <w:tcW w:type="dxa" w:w="1440"/>
          </w:tcPr>
          <w:p>
            <w:r>
              <w:t>Graphing, surds, indices, equations, proof, proportion</w:t>
            </w:r>
          </w:p>
        </w:tc>
        <w:tc>
          <w:tcPr>
            <w:tcW w:type="dxa" w:w="1440"/>
          </w:tcPr>
          <w:p>
            <w:r>
              <w:t>High challenge and coverage; good assessment design</w:t>
            </w:r>
          </w:p>
        </w:tc>
        <w:tc>
          <w:tcPr>
            <w:tcW w:type="dxa" w:w="1440"/>
          </w:tcPr>
          <w:p>
            <w:r>
              <w:t>Green</w:t>
            </w:r>
          </w:p>
        </w:tc>
      </w:tr>
      <w:tr>
        <w:tc>
          <w:tcPr>
            <w:tcW w:type="dxa" w:w="1440"/>
          </w:tcPr>
          <w:p>
            <w:r>
              <w:t>11</w:t>
            </w:r>
          </w:p>
        </w:tc>
        <w:tc>
          <w:tcPr>
            <w:tcW w:type="dxa" w:w="1440"/>
          </w:tcPr>
          <w:p>
            <w:r>
              <w:t>Inequalities, trigonometry (non-RA), Venn diagrams, vectors</w:t>
            </w:r>
          </w:p>
        </w:tc>
        <w:tc>
          <w:tcPr>
            <w:tcW w:type="dxa" w:w="1440"/>
          </w:tcPr>
          <w:p>
            <w:r>
              <w:t>Functions, sequences, graph transformations, similarity</w:t>
            </w:r>
          </w:p>
        </w:tc>
        <w:tc>
          <w:tcPr>
            <w:tcW w:type="dxa" w:w="1440"/>
          </w:tcPr>
          <w:p>
            <w:r>
              <w:t>Revision &amp; Exam Preparation</w:t>
            </w:r>
          </w:p>
        </w:tc>
        <w:tc>
          <w:tcPr>
            <w:tcW w:type="dxa" w:w="1440"/>
          </w:tcPr>
          <w:p>
            <w:r>
              <w:t>Strong alignment with GCSE spec, well-supported with QLA</w:t>
            </w:r>
          </w:p>
        </w:tc>
        <w:tc>
          <w:tcPr>
            <w:tcW w:type="dxa" w:w="1440"/>
          </w:tcPr>
          <w:p>
            <w:r>
              <w:t>Green</w:t>
            </w:r>
          </w:p>
        </w:tc>
      </w:tr>
    </w:tbl>
    <w:p>
      <w:r>
        <w:br w:type="page"/>
      </w:r>
    </w:p>
    <w:p>
      <w:pPr>
        <w:pStyle w:val="Heading1"/>
      </w:pPr>
      <w:r>
        <w:t>Overall Curriculum Quality Summary</w:t>
      </w:r>
    </w:p>
    <w:p>
      <w:r>
        <w:br/>
        <w:t>The Mathematics curriculum for Years 7–11 within the Mowbray Education Trust presents a well-sequenced, coherent, and comprehensive structure. It aligns with national curriculum expectations and reflects the Trust’s Intent to focus on fluency, reasoning, and problem-solving. Vertical progression is strong across year groups, with intentional revisiting and development of core concepts (e.g. FDP, equations, proportion, and geometry).</w:t>
        <w:br/>
      </w:r>
    </w:p>
    <w:p>
      <w:r>
        <w:t>Key Strengths:</w:t>
      </w:r>
    </w:p>
    <w:p>
      <w:pPr>
        <w:pStyle w:val="ListBullet"/>
      </w:pPr>
      <w:r>
        <w:t>- Logical sequencing from foundational to abstract concepts</w:t>
      </w:r>
    </w:p>
    <w:p>
      <w:pPr>
        <w:pStyle w:val="ListBullet"/>
      </w:pPr>
      <w:r>
        <w:t>- Cumulative and varied assessment strategies</w:t>
      </w:r>
    </w:p>
    <w:p>
      <w:pPr>
        <w:pStyle w:val="ListBullet"/>
      </w:pPr>
      <w:r>
        <w:t>- Clear alignment with GCSE outcomes</w:t>
      </w:r>
    </w:p>
    <w:p>
      <w:pPr>
        <w:pStyle w:val="ListBullet"/>
      </w:pPr>
      <w:r>
        <w:t>- Strong subject vocabulary and mathematical literacy support</w:t>
      </w:r>
    </w:p>
    <w:p>
      <w:r>
        <w:t>Key Areas for Development:</w:t>
      </w:r>
    </w:p>
    <w:p>
      <w:pPr>
        <w:pStyle w:val="ListBullet"/>
      </w:pPr>
      <w:r>
        <w:t>- Greater inclusion of scaffolding strategies for SEND and low prior attainers</w:t>
      </w:r>
    </w:p>
    <w:p>
      <w:pPr>
        <w:pStyle w:val="ListBullet"/>
      </w:pPr>
      <w:r>
        <w:t>- Wider use of real-world applications and careers links, especially in upper KS3 and KS4</w:t>
      </w:r>
    </w:p>
    <w:p>
      <w:pPr>
        <w:pStyle w:val="ListBullet"/>
      </w:pPr>
      <w:r>
        <w:t>- More precise identification of misconceptions with examples</w:t>
      </w:r>
    </w:p>
    <w:p>
      <w:r>
        <w:br/>
        <w:t>In conclusion, the curriculum is fit for purpose and reflects a mature understanding of progression in mathematics education. The Long Term Plans and Medium Term Plans support effective delivery, though additional improvements in inclusivity and contextualisation would elevate it to outstanding practice.</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